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62C7" w14:textId="67573EC1" w:rsidR="00E83945" w:rsidRDefault="00E83945" w:rsidP="001E6AAE">
      <w:pPr>
        <w:spacing w:after="0"/>
        <w:jc w:val="both"/>
        <w:rPr>
          <w:rFonts w:ascii="Times New Roman" w:eastAsia="MS Mincho" w:hAnsi="Times New Roman" w:cs="Times New Roman"/>
          <w:b/>
          <w:bCs/>
          <w:kern w:val="0"/>
          <w:sz w:val="24"/>
          <w:szCs w:val="24"/>
          <w14:ligatures w14:val="none"/>
        </w:rPr>
      </w:pPr>
      <w:r w:rsidRPr="00E83945">
        <w:rPr>
          <w:rFonts w:ascii="Times New Roman" w:eastAsia="MS Mincho" w:hAnsi="Times New Roman" w:cs="Times New Roman"/>
          <w:b/>
          <w:bCs/>
          <w:kern w:val="0"/>
          <w:sz w:val="24"/>
          <w:szCs w:val="24"/>
          <w14:ligatures w14:val="none"/>
        </w:rPr>
        <w:t xml:space="preserve">Lisa </w:t>
      </w:r>
      <w:r>
        <w:rPr>
          <w:rFonts w:ascii="Times New Roman" w:eastAsia="MS Mincho" w:hAnsi="Times New Roman" w:cs="Times New Roman"/>
          <w:b/>
          <w:bCs/>
          <w:kern w:val="0"/>
          <w:sz w:val="24"/>
          <w:szCs w:val="24"/>
          <w14:ligatures w14:val="none"/>
        </w:rPr>
        <w:t>6</w:t>
      </w:r>
      <w:r w:rsidRPr="00E83945">
        <w:rPr>
          <w:rFonts w:ascii="Times New Roman" w:eastAsia="MS Mincho" w:hAnsi="Times New Roman" w:cs="Times New Roman"/>
          <w:b/>
          <w:bCs/>
          <w:kern w:val="0"/>
          <w:sz w:val="24"/>
          <w:szCs w:val="24"/>
          <w14:ligatures w14:val="none"/>
        </w:rPr>
        <w:t xml:space="preserve">. </w:t>
      </w:r>
      <w:r>
        <w:rPr>
          <w:rFonts w:ascii="Times New Roman" w:eastAsia="MS Mincho" w:hAnsi="Times New Roman" w:cs="Times New Roman"/>
          <w:b/>
          <w:bCs/>
          <w:kern w:val="0"/>
          <w:sz w:val="24"/>
          <w:szCs w:val="24"/>
          <w14:ligatures w14:val="none"/>
        </w:rPr>
        <w:t>Täiendavad ettepanekud</w:t>
      </w:r>
      <w:r w:rsidRPr="00E83945">
        <w:rPr>
          <w:rFonts w:ascii="Times New Roman" w:eastAsia="MS Mincho" w:hAnsi="Times New Roman" w:cs="Times New Roman"/>
          <w:b/>
          <w:bCs/>
          <w:kern w:val="0"/>
          <w:sz w:val="24"/>
          <w:szCs w:val="24"/>
          <w14:ligatures w14:val="none"/>
        </w:rPr>
        <w:t>: 2030. aasta järgse energiatõhususe õigusraamistiku avalik konsultatsioon.</w:t>
      </w:r>
    </w:p>
    <w:p w14:paraId="418920F6" w14:textId="77777777" w:rsidR="001E6AAE" w:rsidRDefault="001E6AAE" w:rsidP="001E6AAE">
      <w:pPr>
        <w:spacing w:after="0"/>
        <w:jc w:val="both"/>
        <w:rPr>
          <w:rFonts w:ascii="Times New Roman" w:eastAsia="MS Mincho" w:hAnsi="Times New Roman" w:cs="Times New Roman"/>
          <w:b/>
          <w:bCs/>
          <w:kern w:val="0"/>
          <w:sz w:val="24"/>
          <w:szCs w:val="24"/>
          <w14:ligatures w14:val="none"/>
        </w:rPr>
      </w:pPr>
    </w:p>
    <w:p w14:paraId="5E5CCDDB" w14:textId="7F214D1F" w:rsidR="001E6AAE" w:rsidRPr="00E828B4" w:rsidRDefault="001E6AAE" w:rsidP="001E6AAE">
      <w:pPr>
        <w:spacing w:after="0"/>
        <w:jc w:val="both"/>
        <w:rPr>
          <w:rFonts w:ascii="Times New Roman" w:eastAsia="MS Mincho" w:hAnsi="Times New Roman" w:cs="Times New Roman"/>
          <w:kern w:val="0"/>
          <w:sz w:val="24"/>
          <w:szCs w:val="24"/>
          <w:u w:val="single"/>
          <w14:ligatures w14:val="none"/>
        </w:rPr>
      </w:pPr>
      <w:r w:rsidRPr="00E828B4">
        <w:rPr>
          <w:rFonts w:ascii="Times New Roman" w:eastAsia="MS Mincho" w:hAnsi="Times New Roman" w:cs="Times New Roman"/>
          <w:kern w:val="0"/>
          <w:sz w:val="24"/>
          <w:szCs w:val="24"/>
          <w:u w:val="single"/>
          <w14:ligatures w14:val="none"/>
        </w:rPr>
        <w:t>Ene</w:t>
      </w:r>
      <w:r w:rsidR="00E828B4" w:rsidRPr="00E828B4">
        <w:rPr>
          <w:rFonts w:ascii="Times New Roman" w:eastAsia="MS Mincho" w:hAnsi="Times New Roman" w:cs="Times New Roman"/>
          <w:kern w:val="0"/>
          <w:sz w:val="24"/>
          <w:szCs w:val="24"/>
          <w:u w:val="single"/>
          <w14:ligatures w14:val="none"/>
        </w:rPr>
        <w:t>rgiatõhususe direktiiv</w:t>
      </w:r>
      <w:r w:rsidR="006D556A">
        <w:rPr>
          <w:rFonts w:ascii="Times New Roman" w:eastAsia="MS Mincho" w:hAnsi="Times New Roman" w:cs="Times New Roman"/>
          <w:kern w:val="0"/>
          <w:sz w:val="24"/>
          <w:szCs w:val="24"/>
          <w:u w:val="single"/>
          <w14:ligatures w14:val="none"/>
        </w:rPr>
        <w:t xml:space="preserve"> (EL) 2023/1791</w:t>
      </w:r>
      <w:r w:rsidR="00E828B4" w:rsidRPr="00E828B4">
        <w:rPr>
          <w:rFonts w:ascii="Times New Roman" w:eastAsia="MS Mincho" w:hAnsi="Times New Roman" w:cs="Times New Roman"/>
          <w:kern w:val="0"/>
          <w:sz w:val="24"/>
          <w:szCs w:val="24"/>
          <w:u w:val="single"/>
          <w14:ligatures w14:val="none"/>
        </w:rPr>
        <w:t>:</w:t>
      </w:r>
    </w:p>
    <w:p w14:paraId="523C4CD8" w14:textId="77777777" w:rsidR="001E6AAE" w:rsidRPr="001E6AAE" w:rsidRDefault="001E6AAE" w:rsidP="001E6AAE">
      <w:pPr>
        <w:spacing w:after="0"/>
        <w:jc w:val="both"/>
        <w:rPr>
          <w:rFonts w:ascii="Times New Roman" w:eastAsia="MS Mincho" w:hAnsi="Times New Roman" w:cs="Times New Roman"/>
          <w:b/>
          <w:bCs/>
          <w:kern w:val="0"/>
          <w:sz w:val="24"/>
          <w:szCs w:val="24"/>
          <w14:ligatures w14:val="none"/>
        </w:rPr>
      </w:pPr>
    </w:p>
    <w:p w14:paraId="5B674ED0" w14:textId="0E7A0E97" w:rsidR="001E6AAE" w:rsidRDefault="001E6AAE" w:rsidP="001E6AAE">
      <w:pPr>
        <w:pStyle w:val="Normaallaadveeb"/>
        <w:spacing w:after="200" w:line="276" w:lineRule="auto"/>
        <w:jc w:val="both"/>
        <w:rPr>
          <w:rFonts w:eastAsia="Times New Roman"/>
          <w:b/>
          <w:color w:val="000000" w:themeColor="text1"/>
          <w:sz w:val="24"/>
          <w:szCs w:val="24"/>
        </w:rPr>
      </w:pPr>
      <w:r>
        <w:rPr>
          <w:rFonts w:eastAsia="Times New Roman"/>
          <w:b/>
          <w:color w:val="000000" w:themeColor="text1"/>
          <w:sz w:val="24"/>
          <w:szCs w:val="24"/>
        </w:rPr>
        <w:t xml:space="preserve">Eesti teeb ettepaneku: </w:t>
      </w:r>
    </w:p>
    <w:p w14:paraId="192E5D0F" w14:textId="2E9106F2" w:rsidR="14DD03CD" w:rsidRDefault="001E6AAE" w:rsidP="001E6AAE">
      <w:pPr>
        <w:pStyle w:val="Normaallaadveeb"/>
        <w:numPr>
          <w:ilvl w:val="0"/>
          <w:numId w:val="8"/>
        </w:numPr>
        <w:spacing w:after="200" w:line="276" w:lineRule="auto"/>
        <w:jc w:val="both"/>
        <w:rPr>
          <w:rFonts w:eastAsia="Times New Roman"/>
          <w:b/>
          <w:color w:val="000000" w:themeColor="text1"/>
          <w:sz w:val="24"/>
          <w:szCs w:val="24"/>
        </w:rPr>
      </w:pPr>
      <w:r>
        <w:rPr>
          <w:rFonts w:eastAsia="Times New Roman"/>
          <w:b/>
          <w:color w:val="000000" w:themeColor="text1"/>
          <w:sz w:val="24"/>
          <w:szCs w:val="24"/>
        </w:rPr>
        <w:t>k</w:t>
      </w:r>
      <w:r w:rsidR="14DD03CD" w:rsidRPr="72801161">
        <w:rPr>
          <w:rFonts w:eastAsia="Times New Roman"/>
          <w:b/>
          <w:color w:val="000000" w:themeColor="text1"/>
          <w:sz w:val="24"/>
          <w:szCs w:val="24"/>
        </w:rPr>
        <w:t xml:space="preserve">orrigeerida avaliku sektori hoonete rekonstrueerimiskohustuse </w:t>
      </w:r>
      <w:r w:rsidR="2EE4336C" w:rsidRPr="2185A6FA">
        <w:rPr>
          <w:rFonts w:eastAsia="Times New Roman"/>
          <w:b/>
          <w:bCs/>
          <w:color w:val="000000" w:themeColor="text1"/>
          <w:sz w:val="24"/>
          <w:szCs w:val="24"/>
        </w:rPr>
        <w:t>(</w:t>
      </w:r>
      <w:r w:rsidR="2EE4336C" w:rsidRPr="4E887F94">
        <w:rPr>
          <w:rFonts w:eastAsia="Times New Roman"/>
          <w:b/>
          <w:bCs/>
          <w:color w:val="000000" w:themeColor="text1"/>
          <w:sz w:val="24"/>
          <w:szCs w:val="24"/>
        </w:rPr>
        <w:t>artikkel 6</w:t>
      </w:r>
      <w:r w:rsidR="2EE4336C" w:rsidRPr="01C1F5B0">
        <w:rPr>
          <w:rFonts w:eastAsia="Times New Roman"/>
          <w:b/>
          <w:bCs/>
          <w:color w:val="000000" w:themeColor="text1"/>
          <w:sz w:val="24"/>
          <w:szCs w:val="24"/>
        </w:rPr>
        <w:t>)</w:t>
      </w:r>
      <w:r w:rsidR="14DD03CD" w:rsidRPr="73A6B4B8">
        <w:rPr>
          <w:rFonts w:eastAsia="Times New Roman"/>
          <w:b/>
          <w:bCs/>
          <w:color w:val="000000" w:themeColor="text1"/>
          <w:sz w:val="24"/>
          <w:szCs w:val="24"/>
        </w:rPr>
        <w:t xml:space="preserve"> </w:t>
      </w:r>
      <w:r w:rsidR="14DD03CD" w:rsidRPr="72801161">
        <w:rPr>
          <w:rFonts w:eastAsia="Times New Roman"/>
          <w:b/>
          <w:color w:val="000000" w:themeColor="text1"/>
          <w:sz w:val="24"/>
          <w:szCs w:val="24"/>
        </w:rPr>
        <w:t>baastaset regulaarselt, näiteks iga 3–5 aasta järel, et arvestada hoonete lammutamist, müüki, asutuste ühendamist, kasutusvajaduse vähenemist ja demograafilisi muutusi</w:t>
      </w:r>
      <w:r w:rsidR="152A5400" w:rsidRPr="35310408">
        <w:rPr>
          <w:rFonts w:eastAsia="Times New Roman"/>
          <w:b/>
          <w:bCs/>
          <w:color w:val="000000" w:themeColor="text1"/>
          <w:sz w:val="24"/>
          <w:szCs w:val="24"/>
        </w:rPr>
        <w:t>;</w:t>
      </w:r>
      <w:r w:rsidR="53795A09" w:rsidRPr="56770D11">
        <w:rPr>
          <w:rFonts w:eastAsia="Times New Roman"/>
          <w:b/>
          <w:bCs/>
          <w:color w:val="000000" w:themeColor="text1"/>
          <w:sz w:val="24"/>
          <w:szCs w:val="24"/>
        </w:rPr>
        <w:t xml:space="preserve"> </w:t>
      </w:r>
    </w:p>
    <w:p w14:paraId="2326F38A" w14:textId="0E301174" w:rsidR="6D433535" w:rsidRDefault="14DD03CD" w:rsidP="6D433535">
      <w:pPr>
        <w:pStyle w:val="Normaallaadveeb"/>
        <w:numPr>
          <w:ilvl w:val="0"/>
          <w:numId w:val="8"/>
        </w:numPr>
        <w:spacing w:after="200" w:line="276" w:lineRule="auto"/>
        <w:jc w:val="both"/>
        <w:rPr>
          <w:rFonts w:eastAsia="Times New Roman"/>
          <w:b/>
          <w:color w:val="000000" w:themeColor="text1"/>
          <w:sz w:val="24"/>
          <w:szCs w:val="24"/>
        </w:rPr>
      </w:pPr>
      <w:r w:rsidRPr="72801161">
        <w:rPr>
          <w:rFonts w:eastAsia="Times New Roman"/>
          <w:b/>
          <w:color w:val="000000" w:themeColor="text1"/>
          <w:sz w:val="24"/>
          <w:szCs w:val="24"/>
        </w:rPr>
        <w:t xml:space="preserve">võimaldada avaliku sektori hoonete 3% rekonstrueerimiskohustuse täitmisse osalise koefitsiendiga (nt 0,5–0,7) arvestada ka rekonstrueerimisi, mis </w:t>
      </w:r>
      <w:proofErr w:type="spellStart"/>
      <w:r w:rsidRPr="3108B8C0">
        <w:rPr>
          <w:rFonts w:eastAsia="Times New Roman"/>
          <w:b/>
          <w:bCs/>
          <w:color w:val="000000" w:themeColor="text1"/>
          <w:sz w:val="24"/>
          <w:szCs w:val="24"/>
        </w:rPr>
        <w:t>saavutavad</w:t>
      </w:r>
      <w:r w:rsidR="77410274" w:rsidRPr="3108B8C0">
        <w:rPr>
          <w:rFonts w:eastAsia="Times New Roman"/>
          <w:b/>
          <w:bCs/>
          <w:color w:val="000000" w:themeColor="text1"/>
          <w:sz w:val="24"/>
          <w:szCs w:val="24"/>
        </w:rPr>
        <w:t>hoonete</w:t>
      </w:r>
      <w:proofErr w:type="spellEnd"/>
      <w:r w:rsidR="77410274" w:rsidRPr="3108B8C0">
        <w:rPr>
          <w:rFonts w:eastAsia="Times New Roman"/>
          <w:b/>
          <w:bCs/>
          <w:color w:val="000000" w:themeColor="text1"/>
          <w:sz w:val="24"/>
          <w:szCs w:val="24"/>
        </w:rPr>
        <w:t xml:space="preserve"> energiatõhususe direktiivist tulenevate mitteeluhoonete energiatõhususe miinimumstandardite (MEPS)</w:t>
      </w:r>
      <w:r w:rsidRPr="3108B8C0">
        <w:rPr>
          <w:rFonts w:eastAsia="Times New Roman"/>
          <w:b/>
          <w:bCs/>
          <w:color w:val="000000" w:themeColor="text1"/>
          <w:sz w:val="24"/>
          <w:szCs w:val="24"/>
        </w:rPr>
        <w:t xml:space="preserve"> </w:t>
      </w:r>
      <w:r w:rsidRPr="72801161">
        <w:rPr>
          <w:rFonts w:eastAsia="Times New Roman"/>
          <w:b/>
          <w:color w:val="000000" w:themeColor="text1"/>
          <w:sz w:val="24"/>
          <w:szCs w:val="24"/>
        </w:rPr>
        <w:t xml:space="preserve">taseme, kuid mitte täielikku liginullenergiahoone tase. See aitab tagada parema kooskõla energiatõhususe direktiivi artikli 6 ning </w:t>
      </w:r>
      <w:r w:rsidR="08043FE9" w:rsidRPr="3108B8C0">
        <w:rPr>
          <w:rFonts w:eastAsia="Times New Roman"/>
          <w:b/>
          <w:bCs/>
          <w:color w:val="000000" w:themeColor="text1"/>
          <w:sz w:val="24"/>
          <w:szCs w:val="24"/>
        </w:rPr>
        <w:t xml:space="preserve"> hoonete enrgiatõhususe direktiivi artikkel 9 (MEPS) </w:t>
      </w:r>
      <w:r w:rsidRPr="72801161">
        <w:rPr>
          <w:rFonts w:eastAsia="Times New Roman"/>
          <w:b/>
          <w:color w:val="000000" w:themeColor="text1"/>
          <w:sz w:val="24"/>
          <w:szCs w:val="24"/>
        </w:rPr>
        <w:t xml:space="preserve">nõuete täitmisel. </w:t>
      </w:r>
    </w:p>
    <w:p w14:paraId="5CE9812C" w14:textId="0ABEFA5F" w:rsidR="00624AE0" w:rsidRPr="00575C82" w:rsidRDefault="2C277D23" w:rsidP="00575C82">
      <w:pPr>
        <w:pStyle w:val="Normaallaadveeb"/>
        <w:spacing w:beforeAutospacing="1" w:after="200" w:afterAutospacing="1" w:line="276" w:lineRule="auto"/>
        <w:jc w:val="both"/>
        <w:rPr>
          <w:rFonts w:eastAsia="Times New Roman"/>
          <w:color w:val="000000" w:themeColor="text1"/>
          <w:sz w:val="24"/>
          <w:szCs w:val="24"/>
        </w:rPr>
      </w:pPr>
      <w:r w:rsidRPr="00575C82">
        <w:rPr>
          <w:rFonts w:eastAsia="Times New Roman"/>
          <w:color w:val="000000" w:themeColor="text1"/>
          <w:sz w:val="24"/>
          <w:szCs w:val="24"/>
        </w:rPr>
        <w:t>Avaliku sektori hoonete rekonstrueerimiskohustuse rakendamisel tuleb arvestada, et rekonstrueerimisotsused ei lähtu praktikas ainult energiatõhususest, vaid ka avalike teenuste kvaliteedist, hoonete kasutusvajadusest, ligipääsetavusest ning ruumiprogrammi muutustest. Seetõttu moodustavad energiatõhususega otseselt mitteseotud tööd sageli olulise osa investeeringu kogumaksumusest ning pikendavad energiasäästumeetmete tasuvusaega.</w:t>
      </w:r>
    </w:p>
    <w:p w14:paraId="1974CA5D" w14:textId="15DDB5F9" w:rsidR="2C277D23" w:rsidRDefault="2C277D23" w:rsidP="3108B8C0">
      <w:pPr>
        <w:pStyle w:val="Normaallaadveeb"/>
        <w:spacing w:beforeAutospacing="1" w:afterAutospacing="1" w:line="276" w:lineRule="auto"/>
        <w:jc w:val="both"/>
        <w:rPr>
          <w:rFonts w:eastAsia="Times New Roman"/>
          <w:color w:val="000000" w:themeColor="text1"/>
          <w:sz w:val="24"/>
          <w:szCs w:val="24"/>
        </w:rPr>
      </w:pPr>
      <w:r w:rsidRPr="3108B8C0">
        <w:rPr>
          <w:rFonts w:eastAsia="Times New Roman"/>
          <w:color w:val="000000" w:themeColor="text1"/>
          <w:sz w:val="24"/>
          <w:szCs w:val="24"/>
        </w:rPr>
        <w:t>Eesti peab vajalikuks korrigeerida avaliku sektori rekonstrueerimiskohustuse baastaset regulaarselt, näiteks iga 3-5 aasta järel, et võtta arvesse avaliku sektori hoonefondi tegelikku muutumist ajas. Praegune fikseeritud baasaasta ei arvesta piisavalt olukordi, kus hooneid lammutatakse, müüakse, asutused ühendatakse või kolitakse kokku</w:t>
      </w:r>
      <w:r w:rsidR="0902683A" w:rsidRPr="3108B8C0">
        <w:rPr>
          <w:rFonts w:eastAsia="Times New Roman"/>
          <w:color w:val="000000" w:themeColor="text1"/>
          <w:sz w:val="24"/>
          <w:szCs w:val="24"/>
        </w:rPr>
        <w:t xml:space="preserve">. </w:t>
      </w:r>
    </w:p>
    <w:p w14:paraId="03A1E5F5" w14:textId="2DBE029D" w:rsidR="212456DF" w:rsidRDefault="212456DF" w:rsidP="3108B8C0">
      <w:pPr>
        <w:pStyle w:val="Normaallaadveeb"/>
        <w:spacing w:beforeAutospacing="1" w:afterAutospacing="1" w:line="276" w:lineRule="auto"/>
        <w:jc w:val="both"/>
        <w:rPr>
          <w:rFonts w:eastAsia="Times New Roman"/>
          <w:color w:val="000000" w:themeColor="text1"/>
          <w:sz w:val="24"/>
          <w:szCs w:val="24"/>
        </w:rPr>
      </w:pPr>
      <w:r w:rsidRPr="3108B8C0">
        <w:rPr>
          <w:rFonts w:eastAsia="Times New Roman"/>
          <w:color w:val="000000" w:themeColor="text1"/>
          <w:sz w:val="24"/>
          <w:szCs w:val="24"/>
        </w:rPr>
        <w:t>Kuigi kehtiv energiatõhususe direktiiv võimaldab erinevaid rekonstrueerimissügavusi, piiravad avaliku sektori eelarvevõimalused praktikas tehtavaid valikuid. Eesti analüüs näitab, et paindlikum lähenemine võimaldaks sama investeeringumahu juures energiatõhusamaks muuta suuremat hulka hooneid ning saavutada suurema</w:t>
      </w:r>
      <w:r w:rsidR="1B9BEA8B" w:rsidRPr="3108B8C0">
        <w:rPr>
          <w:rFonts w:eastAsia="Times New Roman"/>
          <w:color w:val="000000" w:themeColor="text1"/>
          <w:sz w:val="24"/>
          <w:szCs w:val="24"/>
        </w:rPr>
        <w:t>t</w:t>
      </w:r>
      <w:r w:rsidRPr="3108B8C0">
        <w:rPr>
          <w:rFonts w:eastAsia="Times New Roman"/>
          <w:color w:val="000000" w:themeColor="text1"/>
          <w:sz w:val="24"/>
          <w:szCs w:val="24"/>
        </w:rPr>
        <w:t xml:space="preserve"> koguenergiasäästu ja kasvuhoonegaaside vähenemist. Samuti võimaldaks see vähendada avaliku sektori investeerimisvajadust ja suunata vahendeid suurema süsteemse mõjuga meetmetesse. </w:t>
      </w:r>
      <w:r w:rsidR="73AA4340" w:rsidRPr="3108B8C0">
        <w:rPr>
          <w:rFonts w:eastAsia="Times New Roman"/>
          <w:color w:val="000000" w:themeColor="text1"/>
          <w:sz w:val="24"/>
          <w:szCs w:val="24"/>
        </w:rPr>
        <w:t>Erinev rekonstrueerimissügavus vastavalt hoonete kasutusvajadusele ja energiasäästu potentsiaalile peaks kajastuma ka 3% rekonstrueerimiskohustuse arvestuses</w:t>
      </w:r>
      <w:r w:rsidRPr="3108B8C0">
        <w:rPr>
          <w:rFonts w:eastAsia="Times New Roman"/>
          <w:color w:val="000000" w:themeColor="text1"/>
          <w:sz w:val="24"/>
          <w:szCs w:val="24"/>
        </w:rPr>
        <w:t>, võimaldades osalise koefitsiendiga</w:t>
      </w:r>
      <w:r w:rsidR="647DDDB9" w:rsidRPr="3108B8C0">
        <w:rPr>
          <w:rFonts w:eastAsia="Times New Roman"/>
          <w:color w:val="000000" w:themeColor="text1"/>
          <w:sz w:val="24"/>
          <w:szCs w:val="24"/>
        </w:rPr>
        <w:t xml:space="preserve"> (nt. 0,5- 0,7)</w:t>
      </w:r>
      <w:r w:rsidRPr="3108B8C0">
        <w:rPr>
          <w:rFonts w:eastAsia="Times New Roman"/>
          <w:color w:val="000000" w:themeColor="text1"/>
          <w:sz w:val="24"/>
          <w:szCs w:val="24"/>
        </w:rPr>
        <w:t xml:space="preserve"> arvesse võtta ka MEPS taseme saavutavaid rekonstrueerimisi.</w:t>
      </w:r>
    </w:p>
    <w:p w14:paraId="26F8450B" w14:textId="3E8697CD" w:rsidR="00E828B4" w:rsidRPr="00E828B4" w:rsidRDefault="00E828B4" w:rsidP="3108B8C0">
      <w:pPr>
        <w:pStyle w:val="Normaallaadveeb"/>
        <w:spacing w:beforeAutospacing="1" w:afterAutospacing="1" w:line="276" w:lineRule="auto"/>
        <w:jc w:val="both"/>
        <w:rPr>
          <w:rFonts w:eastAsia="Times New Roman"/>
          <w:color w:val="000000" w:themeColor="text1"/>
          <w:sz w:val="24"/>
          <w:szCs w:val="24"/>
          <w:u w:val="single"/>
        </w:rPr>
      </w:pPr>
      <w:r w:rsidRPr="00E828B4">
        <w:rPr>
          <w:rFonts w:eastAsia="Times New Roman"/>
          <w:color w:val="000000" w:themeColor="text1"/>
          <w:sz w:val="24"/>
          <w:szCs w:val="24"/>
          <w:u w:val="single"/>
        </w:rPr>
        <w:t>Hoonete energiatõhususe direktiiv</w:t>
      </w:r>
      <w:r w:rsidR="003F1474">
        <w:rPr>
          <w:rFonts w:eastAsia="Times New Roman"/>
          <w:color w:val="000000" w:themeColor="text1"/>
          <w:sz w:val="24"/>
          <w:szCs w:val="24"/>
          <w:u w:val="single"/>
        </w:rPr>
        <w:t xml:space="preserve"> </w:t>
      </w:r>
      <w:r w:rsidR="003F1474" w:rsidRPr="003F1474">
        <w:rPr>
          <w:rFonts w:eastAsia="Times New Roman"/>
          <w:color w:val="000000" w:themeColor="text1"/>
          <w:sz w:val="24"/>
          <w:szCs w:val="24"/>
          <w:u w:val="single"/>
        </w:rPr>
        <w:t>(EL) 2024/1275</w:t>
      </w:r>
      <w:r w:rsidRPr="00E828B4">
        <w:rPr>
          <w:rFonts w:eastAsia="Times New Roman"/>
          <w:color w:val="000000" w:themeColor="text1"/>
          <w:sz w:val="24"/>
          <w:szCs w:val="24"/>
          <w:u w:val="single"/>
        </w:rPr>
        <w:t>:</w:t>
      </w:r>
    </w:p>
    <w:p w14:paraId="09A86323" w14:textId="1C7239DF" w:rsidR="00575C82" w:rsidRPr="00575C82" w:rsidRDefault="00575C82" w:rsidP="00E828B4">
      <w:pPr>
        <w:pStyle w:val="Normaallaadveeb"/>
        <w:numPr>
          <w:ilvl w:val="0"/>
          <w:numId w:val="9"/>
        </w:numPr>
        <w:spacing w:after="200" w:line="276" w:lineRule="auto"/>
        <w:jc w:val="both"/>
        <w:rPr>
          <w:rFonts w:eastAsia="Times New Roman"/>
          <w:color w:val="000000" w:themeColor="text1"/>
          <w:kern w:val="0"/>
          <w:sz w:val="24"/>
          <w:szCs w:val="24"/>
          <w14:ligatures w14:val="none"/>
        </w:rPr>
      </w:pPr>
      <w:r w:rsidRPr="00575C82">
        <w:rPr>
          <w:rFonts w:eastAsia="Times New Roman"/>
          <w:b/>
          <w:bCs/>
          <w:color w:val="000000" w:themeColor="text1"/>
          <w:kern w:val="0"/>
          <w:sz w:val="24"/>
          <w:szCs w:val="24"/>
          <w14:ligatures w14:val="none"/>
        </w:rPr>
        <w:t xml:space="preserve">Leiame, et uuendatud hoonete energiatõhususe direktiivi (EL) 2024/1275 all tuleks säilitada seni kehtinud erandid, võttes arvesse kestliku liikuvuse taristu rajamise </w:t>
      </w:r>
      <w:r w:rsidRPr="00575C82">
        <w:rPr>
          <w:rFonts w:eastAsia="Times New Roman"/>
          <w:b/>
          <w:bCs/>
          <w:color w:val="000000" w:themeColor="text1"/>
          <w:kern w:val="0"/>
          <w:sz w:val="24"/>
          <w:szCs w:val="24"/>
          <w14:ligatures w14:val="none"/>
        </w:rPr>
        <w:lastRenderedPageBreak/>
        <w:t>majanduslikku mõistlikkust, tehnilist teostatavust ja kohalikke olusid. Laadimistaristu rajamise ja eelkaabelduse paigaldamise nõuete rakendamisel tuleb lähtuda kulutõhususe põhimõttest ning võimaldada samaväärsuse põhimõtte rakendamist. Samuti peame vajalikuks tagada paindlikkus jalgrattaparkimiskohtade rajamisel, näiteks võimaldades nende etapiviisilist rajamist vastavalt tegelikule nõudlusele.</w:t>
      </w:r>
      <w:r w:rsidRPr="00575C82">
        <w:rPr>
          <w:rFonts w:eastAsia="Times New Roman"/>
          <w:color w:val="000000" w:themeColor="text1"/>
          <w:kern w:val="0"/>
          <w:sz w:val="24"/>
          <w:szCs w:val="24"/>
          <w14:ligatures w14:val="none"/>
        </w:rPr>
        <w:t> </w:t>
      </w:r>
    </w:p>
    <w:p w14:paraId="00E06732" w14:textId="706C022F" w:rsidR="00575C82" w:rsidRPr="00575C82" w:rsidRDefault="00575C82" w:rsidP="00575C82">
      <w:pPr>
        <w:pStyle w:val="Normaallaadveeb"/>
        <w:spacing w:after="200" w:line="276" w:lineRule="auto"/>
        <w:jc w:val="both"/>
        <w:rPr>
          <w:rFonts w:eastAsia="Times New Roman"/>
          <w:color w:val="000000" w:themeColor="text1"/>
          <w:kern w:val="0"/>
          <w:sz w:val="24"/>
          <w:szCs w:val="24"/>
          <w14:ligatures w14:val="none"/>
        </w:rPr>
      </w:pPr>
      <w:r w:rsidRPr="00575C82">
        <w:rPr>
          <w:rFonts w:eastAsia="Times New Roman"/>
          <w:color w:val="000000" w:themeColor="text1"/>
          <w:kern w:val="0"/>
          <w:sz w:val="24"/>
          <w:szCs w:val="24"/>
          <w14:ligatures w14:val="none"/>
        </w:rPr>
        <w:t>Liikmesriigid erinevad märkimisväärselt oma elektritaristu ja majandustingimuste poolest. Mitmetes Eesti piirkondades on elektrivõrgu võimekus piiratud ning uute tarbijate liitumiskulud võivad ulatuda sadadest tuhandetest kuni miljonite eurodeni. Sellised piirangud võivad muuta artikli 14 lõigete 1, 2 ja 4 järgimise paljudel juhtudel majanduslikult põhjendamatuks ja tehniliselt võimatuks. </w:t>
      </w:r>
    </w:p>
    <w:p w14:paraId="5FA93943" w14:textId="233344BA" w:rsidR="00575C82" w:rsidRDefault="00575C82" w:rsidP="00575C82">
      <w:pPr>
        <w:pStyle w:val="Normaallaadveeb"/>
        <w:spacing w:after="200" w:line="276" w:lineRule="auto"/>
        <w:jc w:val="both"/>
        <w:rPr>
          <w:rFonts w:eastAsia="Times New Roman"/>
          <w:color w:val="000000" w:themeColor="text1"/>
          <w:kern w:val="0"/>
          <w:sz w:val="24"/>
          <w:szCs w:val="24"/>
          <w14:ligatures w14:val="none"/>
        </w:rPr>
      </w:pPr>
      <w:r w:rsidRPr="00575C82">
        <w:rPr>
          <w:rFonts w:eastAsia="Times New Roman"/>
          <w:color w:val="000000" w:themeColor="text1"/>
          <w:kern w:val="0"/>
          <w:sz w:val="24"/>
          <w:szCs w:val="24"/>
          <w14:ligatures w14:val="none"/>
        </w:rPr>
        <w:t>Arvestades, et EPBD artiklis 14 ei arvestata liikmesriikide eripäradega, sealhulgas nende tehnilise ja majandusliku võimekusega muutuvas geopoliitilises olukorras, on direktiiviga sätestatud nõuete rakendamine keeruline. </w:t>
      </w:r>
    </w:p>
    <w:p w14:paraId="1394B368" w14:textId="22EFFD7F" w:rsidR="007E5535" w:rsidRPr="00575C82" w:rsidRDefault="007E5535" w:rsidP="00575C82">
      <w:pPr>
        <w:pStyle w:val="Normaallaadveeb"/>
        <w:spacing w:after="200" w:line="276" w:lineRule="auto"/>
        <w:jc w:val="both"/>
        <w:rPr>
          <w:rFonts w:eastAsia="Times New Roman"/>
          <w:color w:val="000000" w:themeColor="text1"/>
          <w:kern w:val="0"/>
          <w:sz w:val="24"/>
          <w:szCs w:val="24"/>
          <w14:ligatures w14:val="none"/>
        </w:rPr>
      </w:pPr>
      <w:r>
        <w:rPr>
          <w:rFonts w:eastAsia="Times New Roman"/>
          <w:color w:val="000000" w:themeColor="text1"/>
          <w:kern w:val="0"/>
          <w:sz w:val="24"/>
          <w:szCs w:val="24"/>
          <w14:ligatures w14:val="none"/>
        </w:rPr>
        <w:t xml:space="preserve">Samuti ei ole </w:t>
      </w:r>
      <w:r w:rsidR="00680117">
        <w:rPr>
          <w:rFonts w:eastAsia="Times New Roman"/>
          <w:color w:val="000000" w:themeColor="text1"/>
          <w:kern w:val="0"/>
          <w:sz w:val="24"/>
          <w:szCs w:val="24"/>
          <w14:ligatures w14:val="none"/>
        </w:rPr>
        <w:t xml:space="preserve">Eesti hinnangul komisjoni </w:t>
      </w:r>
      <w:r w:rsidR="006E27AE">
        <w:rPr>
          <w:rFonts w:eastAsia="Times New Roman"/>
          <w:color w:val="000000" w:themeColor="text1"/>
          <w:kern w:val="0"/>
          <w:sz w:val="24"/>
          <w:szCs w:val="24"/>
          <w14:ligatures w14:val="none"/>
        </w:rPr>
        <w:t>juhises avaldatud leevendusi võimalik</w:t>
      </w:r>
      <w:r w:rsidR="00680117">
        <w:rPr>
          <w:rFonts w:eastAsia="Times New Roman"/>
          <w:color w:val="000000" w:themeColor="text1"/>
          <w:kern w:val="0"/>
          <w:sz w:val="24"/>
          <w:szCs w:val="24"/>
          <w14:ligatures w14:val="none"/>
        </w:rPr>
        <w:t xml:space="preserve"> järgida ilma halduskoormuse märkimisväärse kasvuta.</w:t>
      </w:r>
    </w:p>
    <w:p w14:paraId="2453A465" w14:textId="6CBB98CE" w:rsidR="00575C82" w:rsidRPr="00575C82" w:rsidRDefault="00575C82" w:rsidP="00575C82">
      <w:pPr>
        <w:pStyle w:val="Normaallaadveeb"/>
        <w:spacing w:after="200" w:line="276" w:lineRule="auto"/>
        <w:jc w:val="both"/>
        <w:rPr>
          <w:rFonts w:eastAsia="Times New Roman"/>
          <w:color w:val="000000" w:themeColor="text1"/>
          <w:kern w:val="0"/>
          <w:sz w:val="24"/>
          <w:szCs w:val="24"/>
          <w14:ligatures w14:val="none"/>
        </w:rPr>
      </w:pPr>
      <w:r w:rsidRPr="00575C82">
        <w:rPr>
          <w:rFonts w:eastAsia="Times New Roman"/>
          <w:b/>
          <w:bCs/>
          <w:color w:val="000000" w:themeColor="text1"/>
          <w:kern w:val="0"/>
          <w:sz w:val="24"/>
          <w:szCs w:val="24"/>
          <w14:ligatures w14:val="none"/>
        </w:rPr>
        <w:t>Laadimistaristu</w:t>
      </w:r>
      <w:r w:rsidRPr="00575C82">
        <w:rPr>
          <w:rFonts w:eastAsia="Times New Roman"/>
          <w:color w:val="000000" w:themeColor="text1"/>
          <w:kern w:val="0"/>
          <w:sz w:val="24"/>
          <w:szCs w:val="24"/>
          <w14:ligatures w14:val="none"/>
        </w:rPr>
        <w:t>:</w:t>
      </w:r>
    </w:p>
    <w:p w14:paraId="6917D13B" w14:textId="77777777" w:rsidR="00575C82" w:rsidRPr="00575C82" w:rsidRDefault="00575C82" w:rsidP="00575C82">
      <w:pPr>
        <w:pStyle w:val="Normaallaadveeb"/>
        <w:numPr>
          <w:ilvl w:val="0"/>
          <w:numId w:val="6"/>
        </w:numPr>
        <w:spacing w:after="200" w:line="276" w:lineRule="auto"/>
        <w:jc w:val="both"/>
        <w:rPr>
          <w:rFonts w:eastAsia="Times New Roman"/>
          <w:color w:val="000000" w:themeColor="text1"/>
          <w:kern w:val="0"/>
          <w:sz w:val="24"/>
          <w:szCs w:val="24"/>
          <w14:ligatures w14:val="none"/>
        </w:rPr>
      </w:pPr>
      <w:r w:rsidRPr="00575C82">
        <w:rPr>
          <w:rFonts w:eastAsia="Times New Roman"/>
          <w:color w:val="000000" w:themeColor="text1"/>
          <w:kern w:val="0"/>
          <w:sz w:val="24"/>
          <w:szCs w:val="24"/>
          <w14:ligatures w14:val="none"/>
        </w:rPr>
        <w:t>Laadimistaristu rajamise ja kasutamise vajadused on erinevate hoonetüüpide puhul väga erinevad. Laadimistaristu rajamine ja eelkaabelduse paigaldamine on kõige otstarbekam elamute lähedal, kus sõidukeid laetakse üleöö, ning kontorihoonete (töökohtade) läheduses, kus inimesed viibivad keskmiselt 8 tundi päevas.  </w:t>
      </w:r>
    </w:p>
    <w:p w14:paraId="370CFDC0" w14:textId="77777777" w:rsidR="00575C82" w:rsidRPr="00575C82" w:rsidRDefault="00575C82" w:rsidP="00575C82">
      <w:pPr>
        <w:pStyle w:val="Normaallaadveeb"/>
        <w:numPr>
          <w:ilvl w:val="0"/>
          <w:numId w:val="6"/>
        </w:numPr>
        <w:spacing w:after="200" w:line="276" w:lineRule="auto"/>
        <w:jc w:val="both"/>
        <w:rPr>
          <w:rFonts w:eastAsia="Times New Roman"/>
          <w:color w:val="000000" w:themeColor="text1"/>
          <w:kern w:val="0"/>
          <w:sz w:val="24"/>
          <w:szCs w:val="24"/>
          <w14:ligatures w14:val="none"/>
        </w:rPr>
      </w:pPr>
      <w:r w:rsidRPr="00575C82">
        <w:rPr>
          <w:rFonts w:eastAsia="Times New Roman"/>
          <w:color w:val="000000" w:themeColor="text1"/>
          <w:kern w:val="0"/>
          <w:sz w:val="24"/>
          <w:szCs w:val="24"/>
          <w14:ligatures w14:val="none"/>
        </w:rPr>
        <w:t xml:space="preserve">Näeme, et sellistele mitteeluhoonetele nagu näiteks kaubanduskeskused, meelelahutuskohad ja ärihooned, mille kasutusprofiil on eelnimetatud elamutest ja kontorihoonetest väga erinev, tuleb läheneda praktilisemalt ja ette näha paindlikkus. Selliste hoonete juurde suure hulga standardsete laadimispunktide paigaldamine võib olla ebatõhus ja -praktiline. </w:t>
      </w:r>
    </w:p>
    <w:p w14:paraId="0BAE5F38" w14:textId="51C2BE57" w:rsidR="00575C82" w:rsidRPr="00575C82" w:rsidRDefault="00575C82" w:rsidP="00575C82">
      <w:pPr>
        <w:pStyle w:val="Normaallaadveeb"/>
        <w:numPr>
          <w:ilvl w:val="0"/>
          <w:numId w:val="6"/>
        </w:numPr>
        <w:spacing w:after="200" w:line="276" w:lineRule="auto"/>
        <w:jc w:val="both"/>
        <w:rPr>
          <w:rFonts w:eastAsia="Times New Roman"/>
          <w:color w:val="000000" w:themeColor="text1"/>
          <w:kern w:val="0"/>
          <w:sz w:val="24"/>
          <w:szCs w:val="24"/>
          <w14:ligatures w14:val="none"/>
        </w:rPr>
      </w:pPr>
      <w:r w:rsidRPr="00575C82">
        <w:rPr>
          <w:rFonts w:eastAsia="Times New Roman"/>
          <w:color w:val="000000" w:themeColor="text1"/>
          <w:kern w:val="0"/>
          <w:sz w:val="24"/>
          <w:szCs w:val="24"/>
          <w14:ligatures w14:val="none"/>
        </w:rPr>
        <w:t>Lahendusena näeme võimalust nõude täitmiseks paigaldada üks 240 kW kiirlaadija, mis vastaks kümnele standardsele 22 kW laadijale (kokku 220 kW) – teisisõnu, asendada direktiivis sätestatud nõutav arv (tava)laadijaid samaväärse arvu kiirlaadijatega (nn samaväärsuse põhimõte). Selline paindlikkus võimaldab rakendada direktiivi nõudeid kohalike olusid (sh tehnilist võimekust ja kohalikku nõudlust) arvesse võttes. Ühtlasi on selline lähenemine kooskõlas tehnoloogilise arenguga, tänu millele jõuab turule üha enam kiirlaadimise võimekusega elektriautosid. </w:t>
      </w:r>
    </w:p>
    <w:p w14:paraId="5F4FBFC4" w14:textId="69EFFB47" w:rsidR="00575C82" w:rsidRPr="00575C82" w:rsidRDefault="00575C82" w:rsidP="00575C82">
      <w:pPr>
        <w:pStyle w:val="Normaallaadveeb"/>
        <w:spacing w:after="200" w:line="276" w:lineRule="auto"/>
        <w:jc w:val="both"/>
        <w:rPr>
          <w:rFonts w:eastAsia="Times New Roman"/>
          <w:b/>
          <w:bCs/>
          <w:color w:val="000000" w:themeColor="text1"/>
          <w:kern w:val="0"/>
          <w:sz w:val="24"/>
          <w:szCs w:val="24"/>
          <w14:ligatures w14:val="none"/>
        </w:rPr>
      </w:pPr>
      <w:r w:rsidRPr="00575C82">
        <w:rPr>
          <w:rFonts w:eastAsia="Times New Roman"/>
          <w:b/>
          <w:bCs/>
          <w:color w:val="000000" w:themeColor="text1"/>
          <w:kern w:val="0"/>
          <w:sz w:val="24"/>
          <w:szCs w:val="24"/>
          <w14:ligatures w14:val="none"/>
        </w:rPr>
        <w:t>Jalgrattaparkimiskohad:</w:t>
      </w:r>
    </w:p>
    <w:p w14:paraId="4D20238B" w14:textId="77777777" w:rsidR="00575C82" w:rsidRPr="00575C82" w:rsidRDefault="00575C82" w:rsidP="00575C82">
      <w:pPr>
        <w:pStyle w:val="Normaallaadveeb"/>
        <w:numPr>
          <w:ilvl w:val="0"/>
          <w:numId w:val="7"/>
        </w:numPr>
        <w:spacing w:after="200" w:line="276" w:lineRule="auto"/>
        <w:jc w:val="both"/>
        <w:rPr>
          <w:rFonts w:eastAsia="Times New Roman"/>
          <w:color w:val="000000" w:themeColor="text1"/>
          <w:kern w:val="0"/>
          <w:sz w:val="24"/>
          <w:szCs w:val="24"/>
          <w14:ligatures w14:val="none"/>
        </w:rPr>
      </w:pPr>
      <w:r w:rsidRPr="00575C82">
        <w:rPr>
          <w:rFonts w:eastAsia="Times New Roman"/>
          <w:color w:val="000000" w:themeColor="text1"/>
          <w:kern w:val="0"/>
          <w:sz w:val="24"/>
          <w:szCs w:val="24"/>
          <w14:ligatures w14:val="none"/>
        </w:rPr>
        <w:t>Eesti ettevõtjate ja kaubandushoonete omanike vaatest ei ole direktiivis nõutav jalgrattaparkimiskohtade arv mõistlikult saavutatav ega ka vajalik, arvestades juba loodud jalgrattaparkimiskohtade vähest kasutust. </w:t>
      </w:r>
    </w:p>
    <w:p w14:paraId="5E83C026" w14:textId="77777777" w:rsidR="00575C82" w:rsidRPr="00575C82" w:rsidRDefault="00575C82" w:rsidP="00575C82">
      <w:pPr>
        <w:pStyle w:val="Normaallaadveeb"/>
        <w:numPr>
          <w:ilvl w:val="0"/>
          <w:numId w:val="7"/>
        </w:numPr>
        <w:spacing w:after="200" w:line="276" w:lineRule="auto"/>
        <w:jc w:val="both"/>
        <w:rPr>
          <w:rFonts w:eastAsia="Times New Roman"/>
          <w:color w:val="000000" w:themeColor="text1"/>
          <w:kern w:val="0"/>
          <w:sz w:val="24"/>
          <w:szCs w:val="24"/>
          <w14:ligatures w14:val="none"/>
        </w:rPr>
      </w:pPr>
      <w:r w:rsidRPr="00575C82">
        <w:rPr>
          <w:rFonts w:eastAsia="Times New Roman"/>
          <w:color w:val="000000" w:themeColor="text1"/>
          <w:kern w:val="0"/>
          <w:sz w:val="24"/>
          <w:szCs w:val="24"/>
          <w14:ligatures w14:val="none"/>
        </w:rPr>
        <w:lastRenderedPageBreak/>
        <w:t xml:space="preserve">Peame vajalikuks, et nõutav jalgrattaparkimiskohtade arv peab olema proportsionaalne ja vastama kohalikele vajadustele ja piirkondlikele eripäradele (sh demograafilised ja klimaatilised tingimused). </w:t>
      </w:r>
    </w:p>
    <w:p w14:paraId="18E390DF" w14:textId="0CBD449B" w:rsidR="00B20826" w:rsidRPr="00575C82" w:rsidRDefault="00575C82" w:rsidP="00575C82">
      <w:pPr>
        <w:pStyle w:val="Normaallaadveeb"/>
        <w:numPr>
          <w:ilvl w:val="0"/>
          <w:numId w:val="7"/>
        </w:numPr>
        <w:spacing w:after="200" w:line="276" w:lineRule="auto"/>
        <w:jc w:val="both"/>
        <w:rPr>
          <w:rFonts w:eastAsia="Times New Roman"/>
          <w:color w:val="000000" w:themeColor="text1"/>
          <w:kern w:val="0"/>
          <w:sz w:val="24"/>
          <w:szCs w:val="24"/>
          <w14:ligatures w14:val="none"/>
        </w:rPr>
      </w:pPr>
      <w:r w:rsidRPr="00575C82">
        <w:rPr>
          <w:rFonts w:eastAsia="Times New Roman"/>
          <w:color w:val="000000" w:themeColor="text1"/>
          <w:kern w:val="0"/>
          <w:sz w:val="24"/>
          <w:szCs w:val="24"/>
          <w14:ligatures w14:val="none"/>
        </w:rPr>
        <w:t>Seetõttu soovime nõude täitmisel täiendavat paindlikkust, võimaldades rajada parkimiskohad vastavalt tegelikele vajadustele etappide kaupa. Näiteks selliselt, et algselt rajataks 50% jalgrattaparkimiskohtadest, tagades samaaegselt, et vajalik ala on nõudluse kasvades täies ulatuses kõikide ettenähtud jalgrattaparkimiskohtade rajamiseks (nõude täitmiseks) olemas.</w:t>
      </w:r>
    </w:p>
    <w:sectPr w:rsidR="00B20826" w:rsidRPr="00575C8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B9DD" w14:textId="77777777" w:rsidR="007B0AF2" w:rsidRDefault="007B0AF2" w:rsidP="006E27AE">
      <w:pPr>
        <w:spacing w:after="0" w:line="240" w:lineRule="auto"/>
      </w:pPr>
      <w:r>
        <w:separator/>
      </w:r>
    </w:p>
  </w:endnote>
  <w:endnote w:type="continuationSeparator" w:id="0">
    <w:p w14:paraId="4A58BB44" w14:textId="77777777" w:rsidR="007B0AF2" w:rsidRDefault="007B0AF2" w:rsidP="006E2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916600"/>
      <w:docPartObj>
        <w:docPartGallery w:val="Page Numbers (Bottom of Page)"/>
        <w:docPartUnique/>
      </w:docPartObj>
    </w:sdtPr>
    <w:sdtEndPr>
      <w:rPr>
        <w:rFonts w:ascii="Times New Roman" w:hAnsi="Times New Roman" w:cs="Times New Roman"/>
      </w:rPr>
    </w:sdtEndPr>
    <w:sdtContent>
      <w:p w14:paraId="3D496A50" w14:textId="3D7369F2" w:rsidR="006E27AE" w:rsidRPr="00323424" w:rsidRDefault="006E27AE">
        <w:pPr>
          <w:pStyle w:val="Jalus"/>
          <w:jc w:val="center"/>
          <w:rPr>
            <w:rFonts w:ascii="Times New Roman" w:hAnsi="Times New Roman" w:cs="Times New Roman"/>
          </w:rPr>
        </w:pPr>
        <w:r w:rsidRPr="00323424">
          <w:rPr>
            <w:rFonts w:ascii="Times New Roman" w:hAnsi="Times New Roman" w:cs="Times New Roman"/>
          </w:rPr>
          <w:fldChar w:fldCharType="begin"/>
        </w:r>
        <w:r w:rsidRPr="00323424">
          <w:rPr>
            <w:rFonts w:ascii="Times New Roman" w:hAnsi="Times New Roman" w:cs="Times New Roman"/>
          </w:rPr>
          <w:instrText>PAGE   \* MERGEFORMAT</w:instrText>
        </w:r>
        <w:r w:rsidRPr="00323424">
          <w:rPr>
            <w:rFonts w:ascii="Times New Roman" w:hAnsi="Times New Roman" w:cs="Times New Roman"/>
          </w:rPr>
          <w:fldChar w:fldCharType="separate"/>
        </w:r>
        <w:r w:rsidRPr="00323424">
          <w:rPr>
            <w:rFonts w:ascii="Times New Roman" w:hAnsi="Times New Roman" w:cs="Times New Roman"/>
          </w:rPr>
          <w:t>2</w:t>
        </w:r>
        <w:r w:rsidRPr="00323424">
          <w:rPr>
            <w:rFonts w:ascii="Times New Roman" w:hAnsi="Times New Roman" w:cs="Times New Roman"/>
          </w:rPr>
          <w:fldChar w:fldCharType="end"/>
        </w:r>
      </w:p>
    </w:sdtContent>
  </w:sdt>
  <w:p w14:paraId="5DE79281" w14:textId="77777777" w:rsidR="006E27AE" w:rsidRPr="00323424" w:rsidRDefault="006E27AE">
    <w:pPr>
      <w:pStyle w:val="Jalu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B5A85" w14:textId="77777777" w:rsidR="007B0AF2" w:rsidRDefault="007B0AF2" w:rsidP="006E27AE">
      <w:pPr>
        <w:spacing w:after="0" w:line="240" w:lineRule="auto"/>
      </w:pPr>
      <w:r>
        <w:separator/>
      </w:r>
    </w:p>
  </w:footnote>
  <w:footnote w:type="continuationSeparator" w:id="0">
    <w:p w14:paraId="3ECEA3B3" w14:textId="77777777" w:rsidR="007B0AF2" w:rsidRDefault="007B0AF2" w:rsidP="006E2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2D5"/>
    <w:multiLevelType w:val="hybridMultilevel"/>
    <w:tmpl w:val="78F274D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FFD0155"/>
    <w:multiLevelType w:val="hybridMultilevel"/>
    <w:tmpl w:val="B3927840"/>
    <w:lvl w:ilvl="0" w:tplc="93E68C62">
      <w:start w:val="1"/>
      <w:numFmt w:val="lowerLetter"/>
      <w:lvlText w:val="%1)"/>
      <w:lvlJc w:val="left"/>
      <w:pPr>
        <w:ind w:left="720" w:hanging="360"/>
      </w:pPr>
      <w:rPr>
        <w:rFonts w:ascii="Times New Roman" w:eastAsia="Times New Roman" w:hAnsi="Times New Roman" w:cs="Times New Roman"/>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76159"/>
    <w:multiLevelType w:val="hybridMultilevel"/>
    <w:tmpl w:val="DED04F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91B47A1"/>
    <w:multiLevelType w:val="multilevel"/>
    <w:tmpl w:val="412C7F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912951"/>
    <w:multiLevelType w:val="hybridMultilevel"/>
    <w:tmpl w:val="8F148A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39F5578"/>
    <w:multiLevelType w:val="hybridMultilevel"/>
    <w:tmpl w:val="5AFA7F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45925CB"/>
    <w:multiLevelType w:val="hybridMultilevel"/>
    <w:tmpl w:val="48647D10"/>
    <w:lvl w:ilvl="0" w:tplc="A6E06CF4">
      <w:start w:val="1"/>
      <w:numFmt w:val="lowerLetter"/>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FCA632E"/>
    <w:multiLevelType w:val="hybridMultilevel"/>
    <w:tmpl w:val="BEDE027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7627019"/>
    <w:multiLevelType w:val="hybridMultilevel"/>
    <w:tmpl w:val="BAB8AAE4"/>
    <w:lvl w:ilvl="0" w:tplc="A1281E0C">
      <w:start w:val="6"/>
      <w:numFmt w:val="decimal"/>
      <w:lvlText w:val="%1."/>
      <w:lvlJc w:val="left"/>
      <w:pPr>
        <w:ind w:left="720" w:hanging="360"/>
      </w:pPr>
    </w:lvl>
    <w:lvl w:ilvl="1" w:tplc="19C4C66E">
      <w:start w:val="1"/>
      <w:numFmt w:val="lowerLetter"/>
      <w:lvlText w:val="%2."/>
      <w:lvlJc w:val="left"/>
      <w:pPr>
        <w:ind w:left="1440" w:hanging="360"/>
      </w:pPr>
    </w:lvl>
    <w:lvl w:ilvl="2" w:tplc="07861ED6">
      <w:start w:val="1"/>
      <w:numFmt w:val="lowerRoman"/>
      <w:lvlText w:val="%3."/>
      <w:lvlJc w:val="right"/>
      <w:pPr>
        <w:ind w:left="2160" w:hanging="180"/>
      </w:pPr>
    </w:lvl>
    <w:lvl w:ilvl="3" w:tplc="5350A5F0">
      <w:start w:val="1"/>
      <w:numFmt w:val="decimal"/>
      <w:lvlText w:val="%4."/>
      <w:lvlJc w:val="left"/>
      <w:pPr>
        <w:ind w:left="2880" w:hanging="360"/>
      </w:pPr>
    </w:lvl>
    <w:lvl w:ilvl="4" w:tplc="50E6FAB2">
      <w:start w:val="1"/>
      <w:numFmt w:val="lowerLetter"/>
      <w:lvlText w:val="%5."/>
      <w:lvlJc w:val="left"/>
      <w:pPr>
        <w:ind w:left="3600" w:hanging="360"/>
      </w:pPr>
    </w:lvl>
    <w:lvl w:ilvl="5" w:tplc="30D027A8">
      <w:start w:val="1"/>
      <w:numFmt w:val="lowerRoman"/>
      <w:lvlText w:val="%6."/>
      <w:lvlJc w:val="right"/>
      <w:pPr>
        <w:ind w:left="4320" w:hanging="180"/>
      </w:pPr>
    </w:lvl>
    <w:lvl w:ilvl="6" w:tplc="B0AE7716">
      <w:start w:val="1"/>
      <w:numFmt w:val="decimal"/>
      <w:lvlText w:val="%7."/>
      <w:lvlJc w:val="left"/>
      <w:pPr>
        <w:ind w:left="5040" w:hanging="360"/>
      </w:pPr>
    </w:lvl>
    <w:lvl w:ilvl="7" w:tplc="E3361610">
      <w:start w:val="1"/>
      <w:numFmt w:val="lowerLetter"/>
      <w:lvlText w:val="%8."/>
      <w:lvlJc w:val="left"/>
      <w:pPr>
        <w:ind w:left="5760" w:hanging="360"/>
      </w:pPr>
    </w:lvl>
    <w:lvl w:ilvl="8" w:tplc="E8AEF358">
      <w:start w:val="1"/>
      <w:numFmt w:val="lowerRoman"/>
      <w:lvlText w:val="%9."/>
      <w:lvlJc w:val="right"/>
      <w:pPr>
        <w:ind w:left="6480" w:hanging="180"/>
      </w:pPr>
    </w:lvl>
  </w:abstractNum>
  <w:num w:numId="1" w16cid:durableId="1075473774">
    <w:abstractNumId w:val="8"/>
  </w:num>
  <w:num w:numId="2" w16cid:durableId="1371497146">
    <w:abstractNumId w:val="0"/>
  </w:num>
  <w:num w:numId="3" w16cid:durableId="912011606">
    <w:abstractNumId w:val="7"/>
  </w:num>
  <w:num w:numId="4" w16cid:durableId="1189296757">
    <w:abstractNumId w:val="3"/>
  </w:num>
  <w:num w:numId="5" w16cid:durableId="774638916">
    <w:abstractNumId w:val="5"/>
  </w:num>
  <w:num w:numId="6" w16cid:durableId="1255213473">
    <w:abstractNumId w:val="4"/>
  </w:num>
  <w:num w:numId="7" w16cid:durableId="1566841751">
    <w:abstractNumId w:val="2"/>
  </w:num>
  <w:num w:numId="8" w16cid:durableId="350300767">
    <w:abstractNumId w:val="1"/>
  </w:num>
  <w:num w:numId="9" w16cid:durableId="13600895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35"/>
    <w:rsid w:val="000072B3"/>
    <w:rsid w:val="00007D17"/>
    <w:rsid w:val="0002076C"/>
    <w:rsid w:val="000311A7"/>
    <w:rsid w:val="0003346C"/>
    <w:rsid w:val="0003376A"/>
    <w:rsid w:val="00035CFA"/>
    <w:rsid w:val="000361E1"/>
    <w:rsid w:val="00040191"/>
    <w:rsid w:val="000575D0"/>
    <w:rsid w:val="00057A99"/>
    <w:rsid w:val="00060A4D"/>
    <w:rsid w:val="00062D2F"/>
    <w:rsid w:val="0008110C"/>
    <w:rsid w:val="00082A64"/>
    <w:rsid w:val="000A0BE3"/>
    <w:rsid w:val="000B2F2D"/>
    <w:rsid w:val="000B57E9"/>
    <w:rsid w:val="000C090D"/>
    <w:rsid w:val="000D0D3A"/>
    <w:rsid w:val="000D17B1"/>
    <w:rsid w:val="000D5E00"/>
    <w:rsid w:val="000E59C7"/>
    <w:rsid w:val="000E64A8"/>
    <w:rsid w:val="000F69FE"/>
    <w:rsid w:val="00123999"/>
    <w:rsid w:val="0015797A"/>
    <w:rsid w:val="001A0FB4"/>
    <w:rsid w:val="001A1B12"/>
    <w:rsid w:val="001B4DBB"/>
    <w:rsid w:val="001B550F"/>
    <w:rsid w:val="001C0995"/>
    <w:rsid w:val="001D27EA"/>
    <w:rsid w:val="001E6AAE"/>
    <w:rsid w:val="001F5541"/>
    <w:rsid w:val="00201796"/>
    <w:rsid w:val="002159F2"/>
    <w:rsid w:val="00217161"/>
    <w:rsid w:val="0022576A"/>
    <w:rsid w:val="002342BA"/>
    <w:rsid w:val="0024074F"/>
    <w:rsid w:val="00262CCB"/>
    <w:rsid w:val="00266D71"/>
    <w:rsid w:val="00266E7D"/>
    <w:rsid w:val="00271AE1"/>
    <w:rsid w:val="002808EC"/>
    <w:rsid w:val="002845B7"/>
    <w:rsid w:val="00284E5C"/>
    <w:rsid w:val="002A42D2"/>
    <w:rsid w:val="00313521"/>
    <w:rsid w:val="0031636E"/>
    <w:rsid w:val="00323424"/>
    <w:rsid w:val="00341AD3"/>
    <w:rsid w:val="003440FD"/>
    <w:rsid w:val="00363681"/>
    <w:rsid w:val="00385AB9"/>
    <w:rsid w:val="003931AB"/>
    <w:rsid w:val="0039527C"/>
    <w:rsid w:val="0039622E"/>
    <w:rsid w:val="003975AB"/>
    <w:rsid w:val="003A4E98"/>
    <w:rsid w:val="003C22D2"/>
    <w:rsid w:val="003C5CB1"/>
    <w:rsid w:val="003E1318"/>
    <w:rsid w:val="003F004C"/>
    <w:rsid w:val="003F1474"/>
    <w:rsid w:val="003F563D"/>
    <w:rsid w:val="003F7837"/>
    <w:rsid w:val="00400F8D"/>
    <w:rsid w:val="0041234F"/>
    <w:rsid w:val="0041390D"/>
    <w:rsid w:val="004161EC"/>
    <w:rsid w:val="00436AB5"/>
    <w:rsid w:val="00452EE4"/>
    <w:rsid w:val="00470B20"/>
    <w:rsid w:val="00472A35"/>
    <w:rsid w:val="00481260"/>
    <w:rsid w:val="00483D2F"/>
    <w:rsid w:val="004A46E9"/>
    <w:rsid w:val="004A7F66"/>
    <w:rsid w:val="004B4F9D"/>
    <w:rsid w:val="004B5F9A"/>
    <w:rsid w:val="004C014F"/>
    <w:rsid w:val="004E27A5"/>
    <w:rsid w:val="0054435F"/>
    <w:rsid w:val="0055560A"/>
    <w:rsid w:val="0056005B"/>
    <w:rsid w:val="0056199D"/>
    <w:rsid w:val="00562BE8"/>
    <w:rsid w:val="00564EED"/>
    <w:rsid w:val="00565B54"/>
    <w:rsid w:val="00572DBC"/>
    <w:rsid w:val="00575C82"/>
    <w:rsid w:val="00582415"/>
    <w:rsid w:val="005922BB"/>
    <w:rsid w:val="0059237B"/>
    <w:rsid w:val="00595630"/>
    <w:rsid w:val="00596760"/>
    <w:rsid w:val="005B41AC"/>
    <w:rsid w:val="005B5BAC"/>
    <w:rsid w:val="005C442A"/>
    <w:rsid w:val="005E09EC"/>
    <w:rsid w:val="005F41AA"/>
    <w:rsid w:val="005F5BB8"/>
    <w:rsid w:val="00601389"/>
    <w:rsid w:val="006105B6"/>
    <w:rsid w:val="00623B03"/>
    <w:rsid w:val="00624AE0"/>
    <w:rsid w:val="00626E6D"/>
    <w:rsid w:val="006542A5"/>
    <w:rsid w:val="006577FC"/>
    <w:rsid w:val="006675EB"/>
    <w:rsid w:val="00675A12"/>
    <w:rsid w:val="00680117"/>
    <w:rsid w:val="0068014A"/>
    <w:rsid w:val="00686095"/>
    <w:rsid w:val="00686F07"/>
    <w:rsid w:val="0069103C"/>
    <w:rsid w:val="00693048"/>
    <w:rsid w:val="00695142"/>
    <w:rsid w:val="0069616E"/>
    <w:rsid w:val="006D556A"/>
    <w:rsid w:val="006E27AE"/>
    <w:rsid w:val="006E3AA3"/>
    <w:rsid w:val="006E6B63"/>
    <w:rsid w:val="006F26F6"/>
    <w:rsid w:val="00705805"/>
    <w:rsid w:val="007106F3"/>
    <w:rsid w:val="00730284"/>
    <w:rsid w:val="00734D28"/>
    <w:rsid w:val="00734DDF"/>
    <w:rsid w:val="007706A1"/>
    <w:rsid w:val="00770B71"/>
    <w:rsid w:val="00777C5C"/>
    <w:rsid w:val="007970C3"/>
    <w:rsid w:val="007A7EC0"/>
    <w:rsid w:val="007B0AF2"/>
    <w:rsid w:val="007B1499"/>
    <w:rsid w:val="007C052D"/>
    <w:rsid w:val="007C7EF6"/>
    <w:rsid w:val="007D6263"/>
    <w:rsid w:val="007E5491"/>
    <w:rsid w:val="007E5535"/>
    <w:rsid w:val="00804B9D"/>
    <w:rsid w:val="00813A59"/>
    <w:rsid w:val="00825364"/>
    <w:rsid w:val="008302D6"/>
    <w:rsid w:val="00831EEB"/>
    <w:rsid w:val="00835556"/>
    <w:rsid w:val="00840872"/>
    <w:rsid w:val="00846CD8"/>
    <w:rsid w:val="00856C02"/>
    <w:rsid w:val="00867E30"/>
    <w:rsid w:val="0087146E"/>
    <w:rsid w:val="00872445"/>
    <w:rsid w:val="00877F38"/>
    <w:rsid w:val="00882105"/>
    <w:rsid w:val="00883A4F"/>
    <w:rsid w:val="00891CDA"/>
    <w:rsid w:val="00891DE1"/>
    <w:rsid w:val="00893135"/>
    <w:rsid w:val="008B032B"/>
    <w:rsid w:val="008C29B0"/>
    <w:rsid w:val="008C56C0"/>
    <w:rsid w:val="008C5784"/>
    <w:rsid w:val="008D51AD"/>
    <w:rsid w:val="008D5AC3"/>
    <w:rsid w:val="008E587B"/>
    <w:rsid w:val="008E71B4"/>
    <w:rsid w:val="009157FC"/>
    <w:rsid w:val="0092524D"/>
    <w:rsid w:val="009366FA"/>
    <w:rsid w:val="00936CAE"/>
    <w:rsid w:val="0094735E"/>
    <w:rsid w:val="00950268"/>
    <w:rsid w:val="00951182"/>
    <w:rsid w:val="0096675C"/>
    <w:rsid w:val="009851C6"/>
    <w:rsid w:val="00994A27"/>
    <w:rsid w:val="0099596B"/>
    <w:rsid w:val="009B42D1"/>
    <w:rsid w:val="009C3A66"/>
    <w:rsid w:val="009C4701"/>
    <w:rsid w:val="009C5926"/>
    <w:rsid w:val="009D6CAB"/>
    <w:rsid w:val="009E1225"/>
    <w:rsid w:val="009F261E"/>
    <w:rsid w:val="00A028ED"/>
    <w:rsid w:val="00A03B8B"/>
    <w:rsid w:val="00A04CB4"/>
    <w:rsid w:val="00A16D07"/>
    <w:rsid w:val="00A22AFE"/>
    <w:rsid w:val="00A24038"/>
    <w:rsid w:val="00A24054"/>
    <w:rsid w:val="00A4499B"/>
    <w:rsid w:val="00A569B9"/>
    <w:rsid w:val="00A62128"/>
    <w:rsid w:val="00A66621"/>
    <w:rsid w:val="00A7196F"/>
    <w:rsid w:val="00A7476E"/>
    <w:rsid w:val="00A86E1C"/>
    <w:rsid w:val="00A96702"/>
    <w:rsid w:val="00A96983"/>
    <w:rsid w:val="00AA30B4"/>
    <w:rsid w:val="00AA701E"/>
    <w:rsid w:val="00AC5C3E"/>
    <w:rsid w:val="00AC79F8"/>
    <w:rsid w:val="00AD1D52"/>
    <w:rsid w:val="00AE0349"/>
    <w:rsid w:val="00AE0D1B"/>
    <w:rsid w:val="00AE27F3"/>
    <w:rsid w:val="00AE6B42"/>
    <w:rsid w:val="00AF113C"/>
    <w:rsid w:val="00B022A3"/>
    <w:rsid w:val="00B023BA"/>
    <w:rsid w:val="00B134CD"/>
    <w:rsid w:val="00B20826"/>
    <w:rsid w:val="00B21927"/>
    <w:rsid w:val="00B6640E"/>
    <w:rsid w:val="00B757A6"/>
    <w:rsid w:val="00B77DC5"/>
    <w:rsid w:val="00B80032"/>
    <w:rsid w:val="00B84B8C"/>
    <w:rsid w:val="00BB0226"/>
    <w:rsid w:val="00BB566B"/>
    <w:rsid w:val="00BC18A7"/>
    <w:rsid w:val="00BC56E2"/>
    <w:rsid w:val="00BE3102"/>
    <w:rsid w:val="00BF2FDC"/>
    <w:rsid w:val="00C109C1"/>
    <w:rsid w:val="00C10D3C"/>
    <w:rsid w:val="00C11D5E"/>
    <w:rsid w:val="00C257EC"/>
    <w:rsid w:val="00C2709E"/>
    <w:rsid w:val="00C36DEB"/>
    <w:rsid w:val="00C41BE9"/>
    <w:rsid w:val="00C4700B"/>
    <w:rsid w:val="00C521B5"/>
    <w:rsid w:val="00C57227"/>
    <w:rsid w:val="00C87975"/>
    <w:rsid w:val="00C96209"/>
    <w:rsid w:val="00CB35B2"/>
    <w:rsid w:val="00CB42F7"/>
    <w:rsid w:val="00CB6014"/>
    <w:rsid w:val="00CB76C3"/>
    <w:rsid w:val="00CC603C"/>
    <w:rsid w:val="00CD5B7D"/>
    <w:rsid w:val="00CE6832"/>
    <w:rsid w:val="00CF0D8A"/>
    <w:rsid w:val="00CF6846"/>
    <w:rsid w:val="00D015B8"/>
    <w:rsid w:val="00D11581"/>
    <w:rsid w:val="00D12653"/>
    <w:rsid w:val="00D215A6"/>
    <w:rsid w:val="00D22878"/>
    <w:rsid w:val="00D421FF"/>
    <w:rsid w:val="00D516DD"/>
    <w:rsid w:val="00D559C6"/>
    <w:rsid w:val="00D72701"/>
    <w:rsid w:val="00D83DA8"/>
    <w:rsid w:val="00D9019A"/>
    <w:rsid w:val="00D90ADD"/>
    <w:rsid w:val="00DB414B"/>
    <w:rsid w:val="00DC2946"/>
    <w:rsid w:val="00DF138E"/>
    <w:rsid w:val="00DF563F"/>
    <w:rsid w:val="00E32038"/>
    <w:rsid w:val="00E40A11"/>
    <w:rsid w:val="00E44DA0"/>
    <w:rsid w:val="00E4627F"/>
    <w:rsid w:val="00E4769E"/>
    <w:rsid w:val="00E56B12"/>
    <w:rsid w:val="00E71169"/>
    <w:rsid w:val="00E72F29"/>
    <w:rsid w:val="00E8004C"/>
    <w:rsid w:val="00E828B4"/>
    <w:rsid w:val="00E83945"/>
    <w:rsid w:val="00E90291"/>
    <w:rsid w:val="00EA7084"/>
    <w:rsid w:val="00EC374F"/>
    <w:rsid w:val="00EC5448"/>
    <w:rsid w:val="00EE1B56"/>
    <w:rsid w:val="00EF1BCE"/>
    <w:rsid w:val="00EF36CE"/>
    <w:rsid w:val="00F2198F"/>
    <w:rsid w:val="00F30DFF"/>
    <w:rsid w:val="00F32CAF"/>
    <w:rsid w:val="00F524BB"/>
    <w:rsid w:val="00F55F23"/>
    <w:rsid w:val="00F604EC"/>
    <w:rsid w:val="00F62C4F"/>
    <w:rsid w:val="00F7528A"/>
    <w:rsid w:val="00F856D9"/>
    <w:rsid w:val="00F91825"/>
    <w:rsid w:val="00F91FD6"/>
    <w:rsid w:val="00FA1CF8"/>
    <w:rsid w:val="00FA6B7A"/>
    <w:rsid w:val="00FC2BAA"/>
    <w:rsid w:val="00FC7839"/>
    <w:rsid w:val="00FD4EA3"/>
    <w:rsid w:val="00FD5395"/>
    <w:rsid w:val="00FE3940"/>
    <w:rsid w:val="00FE3A01"/>
    <w:rsid w:val="00FE7E7D"/>
    <w:rsid w:val="0139563F"/>
    <w:rsid w:val="01C1F5B0"/>
    <w:rsid w:val="02D4E8BD"/>
    <w:rsid w:val="03C16802"/>
    <w:rsid w:val="03DD35BF"/>
    <w:rsid w:val="06F2C7D5"/>
    <w:rsid w:val="07989CA7"/>
    <w:rsid w:val="08043FE9"/>
    <w:rsid w:val="088A8705"/>
    <w:rsid w:val="08B9DD94"/>
    <w:rsid w:val="0902683A"/>
    <w:rsid w:val="09157175"/>
    <w:rsid w:val="0A6393FC"/>
    <w:rsid w:val="0ACD4785"/>
    <w:rsid w:val="0E2C1DF6"/>
    <w:rsid w:val="11A4E233"/>
    <w:rsid w:val="12500AA5"/>
    <w:rsid w:val="14911655"/>
    <w:rsid w:val="14DD03CD"/>
    <w:rsid w:val="152A5400"/>
    <w:rsid w:val="19CDFB12"/>
    <w:rsid w:val="19F830D8"/>
    <w:rsid w:val="1A803775"/>
    <w:rsid w:val="1B9BEA8B"/>
    <w:rsid w:val="1CF1D9FE"/>
    <w:rsid w:val="1FA584A5"/>
    <w:rsid w:val="1FC777C6"/>
    <w:rsid w:val="212456DF"/>
    <w:rsid w:val="2185A6FA"/>
    <w:rsid w:val="22E7F78B"/>
    <w:rsid w:val="24337074"/>
    <w:rsid w:val="25C017A8"/>
    <w:rsid w:val="2664C5C4"/>
    <w:rsid w:val="28F98CD5"/>
    <w:rsid w:val="2904155E"/>
    <w:rsid w:val="295361FF"/>
    <w:rsid w:val="2C277D23"/>
    <w:rsid w:val="2DC65AEF"/>
    <w:rsid w:val="2E3E46ED"/>
    <w:rsid w:val="2EE4336C"/>
    <w:rsid w:val="2F3B3AAB"/>
    <w:rsid w:val="3071551E"/>
    <w:rsid w:val="3108B8C0"/>
    <w:rsid w:val="322F9ED4"/>
    <w:rsid w:val="32313C9E"/>
    <w:rsid w:val="34CEB265"/>
    <w:rsid w:val="35310408"/>
    <w:rsid w:val="3547B900"/>
    <w:rsid w:val="3570E768"/>
    <w:rsid w:val="36A0CB71"/>
    <w:rsid w:val="39F6B796"/>
    <w:rsid w:val="3A4AB4F2"/>
    <w:rsid w:val="3CC608E0"/>
    <w:rsid w:val="3D920062"/>
    <w:rsid w:val="40B16ED5"/>
    <w:rsid w:val="41FDBC58"/>
    <w:rsid w:val="438CA02D"/>
    <w:rsid w:val="441E102F"/>
    <w:rsid w:val="448E4A36"/>
    <w:rsid w:val="451B5AF7"/>
    <w:rsid w:val="4542F0FC"/>
    <w:rsid w:val="459AC1BE"/>
    <w:rsid w:val="48CBFB9D"/>
    <w:rsid w:val="4B617CEC"/>
    <w:rsid w:val="4E887F94"/>
    <w:rsid w:val="52D54930"/>
    <w:rsid w:val="53795A09"/>
    <w:rsid w:val="55106BD5"/>
    <w:rsid w:val="56770D11"/>
    <w:rsid w:val="576BB776"/>
    <w:rsid w:val="57E2D5F5"/>
    <w:rsid w:val="5D0997A3"/>
    <w:rsid w:val="5E02F34E"/>
    <w:rsid w:val="5FC899B7"/>
    <w:rsid w:val="60CB639F"/>
    <w:rsid w:val="6222B3F1"/>
    <w:rsid w:val="62B38866"/>
    <w:rsid w:val="62F40FE2"/>
    <w:rsid w:val="633B9137"/>
    <w:rsid w:val="639484A0"/>
    <w:rsid w:val="647DDDB9"/>
    <w:rsid w:val="6736EE88"/>
    <w:rsid w:val="681AD367"/>
    <w:rsid w:val="694013A1"/>
    <w:rsid w:val="69F48BCD"/>
    <w:rsid w:val="6CCFC24E"/>
    <w:rsid w:val="6D3E971F"/>
    <w:rsid w:val="6D433535"/>
    <w:rsid w:val="6E2996BD"/>
    <w:rsid w:val="71A40C0A"/>
    <w:rsid w:val="71DE9997"/>
    <w:rsid w:val="72801161"/>
    <w:rsid w:val="73A6B4B8"/>
    <w:rsid w:val="73AA4340"/>
    <w:rsid w:val="73C71FA8"/>
    <w:rsid w:val="75003282"/>
    <w:rsid w:val="7526AF23"/>
    <w:rsid w:val="75A28D46"/>
    <w:rsid w:val="767C108B"/>
    <w:rsid w:val="77410274"/>
    <w:rsid w:val="79DDC40D"/>
    <w:rsid w:val="7A3F56E4"/>
    <w:rsid w:val="7AE3B783"/>
    <w:rsid w:val="7AEE2FCD"/>
    <w:rsid w:val="7E3E0A91"/>
    <w:rsid w:val="7E61FABB"/>
    <w:rsid w:val="7EFE81F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5CED"/>
  <w15:chartTrackingRefBased/>
  <w15:docId w15:val="{D7602942-3A91-4189-B71E-E76F9E14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link w:val="Pealkiri1Mrk"/>
    <w:uiPriority w:val="9"/>
    <w:qFormat/>
    <w:rsid w:val="7EFE8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link w:val="Pealkiri2Mrk"/>
    <w:uiPriority w:val="9"/>
    <w:semiHidden/>
    <w:unhideWhenUsed/>
    <w:qFormat/>
    <w:rsid w:val="7EFE8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link w:val="Pealkiri3Mrk"/>
    <w:uiPriority w:val="9"/>
    <w:semiHidden/>
    <w:unhideWhenUsed/>
    <w:qFormat/>
    <w:rsid w:val="7EFE81F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link w:val="Pealkiri4Mrk"/>
    <w:uiPriority w:val="9"/>
    <w:semiHidden/>
    <w:unhideWhenUsed/>
    <w:qFormat/>
    <w:rsid w:val="7EFE81F5"/>
    <w:pPr>
      <w:keepNext/>
      <w:keepLines/>
      <w:spacing w:before="80" w:after="40"/>
      <w:outlineLvl w:val="3"/>
    </w:pPr>
    <w:rPr>
      <w:rFonts w:eastAsiaTheme="majorEastAsia" w:cstheme="majorBidi"/>
      <w:i/>
      <w:iCs/>
      <w:color w:val="0F4761" w:themeColor="accent1" w:themeShade="BF"/>
    </w:rPr>
  </w:style>
  <w:style w:type="paragraph" w:styleId="Pealkiri5">
    <w:name w:val="heading 5"/>
    <w:link w:val="Pealkiri5Mrk"/>
    <w:uiPriority w:val="9"/>
    <w:semiHidden/>
    <w:unhideWhenUsed/>
    <w:qFormat/>
    <w:rsid w:val="7EFE81F5"/>
    <w:pPr>
      <w:keepNext/>
      <w:keepLines/>
      <w:spacing w:before="80" w:after="40"/>
      <w:outlineLvl w:val="4"/>
    </w:pPr>
    <w:rPr>
      <w:rFonts w:eastAsiaTheme="majorEastAsia" w:cstheme="majorBidi"/>
      <w:color w:val="0F4761" w:themeColor="accent1" w:themeShade="BF"/>
    </w:rPr>
  </w:style>
  <w:style w:type="paragraph" w:styleId="Pealkiri6">
    <w:name w:val="heading 6"/>
    <w:link w:val="Pealkiri6Mrk"/>
    <w:uiPriority w:val="9"/>
    <w:semiHidden/>
    <w:unhideWhenUsed/>
    <w:qFormat/>
    <w:rsid w:val="7EFE81F5"/>
    <w:pPr>
      <w:keepNext/>
      <w:keepLines/>
      <w:spacing w:before="40" w:after="0"/>
      <w:outlineLvl w:val="5"/>
    </w:pPr>
    <w:rPr>
      <w:rFonts w:eastAsiaTheme="majorEastAsia" w:cstheme="majorBidi"/>
      <w:i/>
      <w:iCs/>
      <w:color w:val="595959" w:themeColor="text1" w:themeTint="A6"/>
    </w:rPr>
  </w:style>
  <w:style w:type="paragraph" w:styleId="Pealkiri7">
    <w:name w:val="heading 7"/>
    <w:link w:val="Pealkiri7Mrk"/>
    <w:uiPriority w:val="9"/>
    <w:semiHidden/>
    <w:unhideWhenUsed/>
    <w:qFormat/>
    <w:rsid w:val="7EFE81F5"/>
    <w:pPr>
      <w:keepNext/>
      <w:keepLines/>
      <w:spacing w:before="40" w:after="0"/>
      <w:outlineLvl w:val="6"/>
    </w:pPr>
    <w:rPr>
      <w:rFonts w:eastAsiaTheme="majorEastAsia" w:cstheme="majorBidi"/>
      <w:color w:val="595959" w:themeColor="text1" w:themeTint="A6"/>
    </w:rPr>
  </w:style>
  <w:style w:type="paragraph" w:styleId="Pealkiri8">
    <w:name w:val="heading 8"/>
    <w:link w:val="Pealkiri8Mrk"/>
    <w:uiPriority w:val="9"/>
    <w:semiHidden/>
    <w:unhideWhenUsed/>
    <w:qFormat/>
    <w:rsid w:val="7EFE81F5"/>
    <w:pPr>
      <w:keepNext/>
      <w:keepLines/>
      <w:spacing w:after="0"/>
      <w:outlineLvl w:val="7"/>
    </w:pPr>
    <w:rPr>
      <w:rFonts w:eastAsiaTheme="majorEastAsia" w:cstheme="majorBidi"/>
      <w:i/>
      <w:iCs/>
      <w:color w:val="272727"/>
    </w:rPr>
  </w:style>
  <w:style w:type="paragraph" w:styleId="Pealkiri9">
    <w:name w:val="heading 9"/>
    <w:link w:val="Pealkiri9Mrk"/>
    <w:uiPriority w:val="9"/>
    <w:semiHidden/>
    <w:unhideWhenUsed/>
    <w:qFormat/>
    <w:rsid w:val="7EFE81F5"/>
    <w:pPr>
      <w:keepNext/>
      <w:keepLines/>
      <w:spacing w:after="0"/>
      <w:outlineLvl w:val="8"/>
    </w:pPr>
    <w:rPr>
      <w:rFonts w:eastAsiaTheme="majorEastAsia" w:cstheme="majorBidi"/>
      <w:color w:val="272727"/>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72A3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72A3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72A3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72A3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72A3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72A3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72A3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72A3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72A35"/>
    <w:rPr>
      <w:rFonts w:eastAsiaTheme="majorEastAsia" w:cstheme="majorBidi"/>
      <w:color w:val="272727" w:themeColor="text1" w:themeTint="D8"/>
    </w:rPr>
  </w:style>
  <w:style w:type="paragraph" w:styleId="Pealkiri">
    <w:name w:val="Title"/>
    <w:link w:val="PealkiriMrk"/>
    <w:uiPriority w:val="10"/>
    <w:qFormat/>
    <w:rsid w:val="7EFE81F5"/>
    <w:pPr>
      <w:spacing w:after="80" w:line="240" w:lineRule="auto"/>
      <w:contextualSpacing/>
    </w:pPr>
    <w:rPr>
      <w:rFonts w:asciiTheme="majorHAnsi" w:eastAsiaTheme="majorEastAsia" w:hAnsiTheme="majorHAnsi" w:cstheme="majorBidi"/>
      <w:sz w:val="56"/>
      <w:szCs w:val="56"/>
    </w:rPr>
  </w:style>
  <w:style w:type="character" w:customStyle="1" w:styleId="PealkiriMrk">
    <w:name w:val="Pealkiri Märk"/>
    <w:basedOn w:val="Liguvaikefont"/>
    <w:link w:val="Pealkiri"/>
    <w:uiPriority w:val="10"/>
    <w:rsid w:val="00472A35"/>
    <w:rPr>
      <w:rFonts w:asciiTheme="majorHAnsi" w:eastAsiaTheme="majorEastAsia" w:hAnsiTheme="majorHAnsi" w:cstheme="majorBidi"/>
      <w:spacing w:val="-10"/>
      <w:kern w:val="28"/>
      <w:sz w:val="56"/>
      <w:szCs w:val="56"/>
    </w:rPr>
  </w:style>
  <w:style w:type="paragraph" w:styleId="Alapealkiri">
    <w:name w:val="Subtitle"/>
    <w:link w:val="AlapealkiriMrk"/>
    <w:uiPriority w:val="11"/>
    <w:qFormat/>
    <w:rsid w:val="7EFE81F5"/>
    <w:rPr>
      <w:rFonts w:eastAsiaTheme="majorEastAsia" w:cstheme="majorBidi"/>
      <w:color w:val="595959" w:themeColor="text1" w:themeTint="A6"/>
      <w:sz w:val="28"/>
      <w:szCs w:val="28"/>
    </w:rPr>
  </w:style>
  <w:style w:type="character" w:customStyle="1" w:styleId="AlapealkiriMrk">
    <w:name w:val="Alapealkiri Märk"/>
    <w:basedOn w:val="Liguvaikefont"/>
    <w:link w:val="Alapealkiri"/>
    <w:uiPriority w:val="11"/>
    <w:rsid w:val="00472A35"/>
    <w:rPr>
      <w:rFonts w:eastAsiaTheme="majorEastAsia" w:cstheme="majorBidi"/>
      <w:color w:val="595959" w:themeColor="text1" w:themeTint="A6"/>
      <w:spacing w:val="15"/>
      <w:sz w:val="28"/>
      <w:szCs w:val="28"/>
    </w:rPr>
  </w:style>
  <w:style w:type="paragraph" w:styleId="Tsitaat">
    <w:name w:val="Quote"/>
    <w:link w:val="TsitaatMrk"/>
    <w:uiPriority w:val="29"/>
    <w:qFormat/>
    <w:rsid w:val="7EFE81F5"/>
    <w:pPr>
      <w:spacing w:before="160"/>
      <w:jc w:val="center"/>
    </w:pPr>
    <w:rPr>
      <w:i/>
      <w:iCs/>
      <w:color w:val="404040" w:themeColor="text1" w:themeTint="BF"/>
    </w:rPr>
  </w:style>
  <w:style w:type="character" w:customStyle="1" w:styleId="TsitaatMrk">
    <w:name w:val="Tsitaat Märk"/>
    <w:basedOn w:val="Liguvaikefont"/>
    <w:link w:val="Tsitaat"/>
    <w:uiPriority w:val="29"/>
    <w:rsid w:val="00472A35"/>
    <w:rPr>
      <w:i/>
      <w:iCs/>
      <w:color w:val="404040" w:themeColor="text1" w:themeTint="BF"/>
    </w:rPr>
  </w:style>
  <w:style w:type="paragraph" w:styleId="Loendilik">
    <w:name w:val="List Paragraph"/>
    <w:uiPriority w:val="34"/>
    <w:qFormat/>
    <w:rsid w:val="7EFE81F5"/>
    <w:pPr>
      <w:ind w:left="720"/>
      <w:contextualSpacing/>
    </w:pPr>
  </w:style>
  <w:style w:type="character" w:styleId="Selgeltmrgatavrhutus">
    <w:name w:val="Intense Emphasis"/>
    <w:basedOn w:val="Liguvaikefont"/>
    <w:uiPriority w:val="21"/>
    <w:qFormat/>
    <w:rsid w:val="00472A35"/>
    <w:rPr>
      <w:i/>
      <w:iCs/>
      <w:color w:val="0F4761" w:themeColor="accent1" w:themeShade="BF"/>
    </w:rPr>
  </w:style>
  <w:style w:type="paragraph" w:styleId="Selgeltmrgatavtsitaat">
    <w:name w:val="Intense Quote"/>
    <w:link w:val="SelgeltmrgatavtsitaatMrk"/>
    <w:uiPriority w:val="30"/>
    <w:qFormat/>
    <w:rsid w:val="7EFE8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72A35"/>
    <w:rPr>
      <w:i/>
      <w:iCs/>
      <w:color w:val="0F4761" w:themeColor="accent1" w:themeShade="BF"/>
    </w:rPr>
  </w:style>
  <w:style w:type="character" w:styleId="Selgeltmrgatavviide">
    <w:name w:val="Intense Reference"/>
    <w:basedOn w:val="Liguvaikefont"/>
    <w:uiPriority w:val="32"/>
    <w:qFormat/>
    <w:rsid w:val="00472A35"/>
    <w:rPr>
      <w:b/>
      <w:bCs/>
      <w:smallCaps/>
      <w:color w:val="0F4761" w:themeColor="accent1" w:themeShade="BF"/>
      <w:spacing w:val="5"/>
    </w:rPr>
  </w:style>
  <w:style w:type="paragraph" w:styleId="Normaallaadveeb">
    <w:name w:val="Normal (Web)"/>
    <w:uiPriority w:val="99"/>
    <w:unhideWhenUsed/>
    <w:rsid w:val="7EFE81F5"/>
    <w:rPr>
      <w:rFonts w:ascii="Times New Roman" w:hAnsi="Times New Roman" w:cs="Times New Roman"/>
    </w:rPr>
  </w:style>
  <w:style w:type="paragraph" w:styleId="Pis">
    <w:name w:val="header"/>
    <w:basedOn w:val="Normaallaad"/>
    <w:link w:val="PisMrk"/>
    <w:uiPriority w:val="99"/>
    <w:unhideWhenUsed/>
    <w:rsid w:val="006E27AE"/>
    <w:pPr>
      <w:tabs>
        <w:tab w:val="center" w:pos="4536"/>
        <w:tab w:val="right" w:pos="9072"/>
      </w:tabs>
      <w:spacing w:after="0" w:line="240" w:lineRule="auto"/>
    </w:pPr>
  </w:style>
  <w:style w:type="character" w:customStyle="1" w:styleId="PisMrk">
    <w:name w:val="Päis Märk"/>
    <w:basedOn w:val="Liguvaikefont"/>
    <w:link w:val="Pis"/>
    <w:uiPriority w:val="99"/>
    <w:rsid w:val="006E27AE"/>
  </w:style>
  <w:style w:type="paragraph" w:styleId="Jalus">
    <w:name w:val="footer"/>
    <w:basedOn w:val="Normaallaad"/>
    <w:link w:val="JalusMrk"/>
    <w:uiPriority w:val="99"/>
    <w:unhideWhenUsed/>
    <w:rsid w:val="006E27AE"/>
    <w:pPr>
      <w:tabs>
        <w:tab w:val="center" w:pos="4536"/>
        <w:tab w:val="right" w:pos="9072"/>
      </w:tabs>
      <w:spacing w:after="0" w:line="240" w:lineRule="auto"/>
    </w:pPr>
  </w:style>
  <w:style w:type="character" w:customStyle="1" w:styleId="JalusMrk">
    <w:name w:val="Jalus Märk"/>
    <w:basedOn w:val="Liguvaikefont"/>
    <w:link w:val="Jalus"/>
    <w:uiPriority w:val="99"/>
    <w:rsid w:val="006E2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857</Words>
  <Characters>4975</Characters>
  <Application>Microsoft Office Word</Application>
  <DocSecurity>0</DocSecurity>
  <Lines>41</Lines>
  <Paragraphs>11</Paragraphs>
  <ScaleCrop>false</ScaleCrop>
  <Company>KeMIT</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6. Täiendavad ettepanekud küsimustiku juurde_EED avalik konsultatsioon</dc:title>
  <dc:subject/>
  <dc:creator>Riina Tamm</dc:creator>
  <dc:description/>
  <cp:lastModifiedBy>Rahel Kelus</cp:lastModifiedBy>
  <cp:revision>112</cp:revision>
  <dcterms:created xsi:type="dcterms:W3CDTF">2026-04-24T20:14:00Z</dcterms:created>
  <dcterms:modified xsi:type="dcterms:W3CDTF">2026-05-19T14:35:00Z</dcterms:modified>
</cp:coreProperties>
</file>